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1200" w:lineRule="exact"/>
        <w:textAlignment w:val="auto"/>
        <w:rPr>
          <w:rFonts w:hint="default" w:ascii="Times New Roman" w:hAnsi="Times New Roman" w:eastAsia="仿宋_GB2312" w:cs="Times New Roman"/>
          <w:spacing w:val="3"/>
          <w:sz w:val="32"/>
          <w:szCs w:val="32"/>
        </w:rPr>
      </w:pPr>
      <w:bookmarkStart w:id="3" w:name="_GoBack"/>
    </w:p>
    <w:p>
      <w:pPr>
        <w:keepNext w:val="0"/>
        <w:keepLines w:val="0"/>
        <w:pageBreakBefore w:val="0"/>
        <w:widowControl w:val="0"/>
        <w:tabs>
          <w:tab w:val="left" w:pos="11340"/>
        </w:tabs>
        <w:kinsoku/>
        <w:overflowPunct/>
        <w:topLinePunct w:val="0"/>
        <w:bidi w:val="0"/>
        <w:spacing w:line="6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惠州仲恺高新区国有建设用地使用权</w:t>
      </w:r>
    </w:p>
    <w:p>
      <w:pPr>
        <w:keepNext w:val="0"/>
        <w:keepLines w:val="0"/>
        <w:pageBreakBefore w:val="0"/>
        <w:widowControl w:val="0"/>
        <w:tabs>
          <w:tab w:val="left" w:pos="11340"/>
        </w:tabs>
        <w:kinsoku/>
        <w:overflowPunct/>
        <w:topLinePunct w:val="0"/>
        <w:bidi w:val="0"/>
        <w:spacing w:line="6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网上挂牌出让公告</w:t>
      </w:r>
    </w:p>
    <w:p>
      <w:pPr>
        <w:keepNext w:val="0"/>
        <w:keepLines w:val="0"/>
        <w:pageBreakBefore w:val="0"/>
        <w:widowControl w:val="0"/>
        <w:tabs>
          <w:tab w:val="left" w:pos="11340"/>
        </w:tabs>
        <w:kinsoku/>
        <w:overflowPunct/>
        <w:topLinePunct w:val="0"/>
        <w:bidi w:val="0"/>
        <w:spacing w:line="560" w:lineRule="exact"/>
        <w:ind w:left="2880" w:hanging="2880" w:hangingChars="900"/>
        <w:jc w:val="center"/>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惠仲土挂告[2023]006号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二、挂牌起始价及增价幅度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挂牌起始价为人民币4257万元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每次报价增价幅度为人民币50万元的整数倍。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三、时间安排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（一）公告时间：2023年2月21日至2023年3月13日。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（二）网上挂牌竞买时间：2023年3月13日9时至2023年3月27日10时。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（三）竞买保证金到账截止时间为：2023年3月27日9时。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四、竞买资格及要求</w:t>
      </w:r>
    </w:p>
    <w:p>
      <w:pPr>
        <w:pStyle w:val="8"/>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中华人民共和国境内外的法人、自然人和其他组织（除法律法规另有规定外）具备本条规定条件的，均可申请参加竞买。申请人可以单独申请，也可以联合申请，竞买申请人必须同时具备下列条件：</w:t>
      </w:r>
    </w:p>
    <w:p>
      <w:pPr>
        <w:pStyle w:val="8"/>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（一）缴交竞买保证金2128万元人民币；</w:t>
      </w:r>
    </w:p>
    <w:p>
      <w:pPr>
        <w:pStyle w:val="8"/>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bookmarkStart w:id="0" w:name="bookmark11"/>
      <w:r>
        <w:rPr>
          <w:rFonts w:hint="default" w:ascii="Times New Roman" w:hAnsi="Times New Roman" w:eastAsia="仿宋_GB2312" w:cs="Times New Roman"/>
          <w:color w:val="000000"/>
          <w:sz w:val="32"/>
          <w:szCs w:val="32"/>
        </w:rPr>
        <w:t>（</w:t>
      </w:r>
      <w:bookmarkEnd w:id="0"/>
      <w:r>
        <w:rPr>
          <w:rFonts w:hint="default" w:ascii="Times New Roman" w:hAnsi="Times New Roman" w:eastAsia="仿宋_GB2312" w:cs="Times New Roman"/>
          <w:color w:val="000000"/>
          <w:sz w:val="32"/>
          <w:szCs w:val="32"/>
        </w:rPr>
        <w:t>二）拖欠地价款、闲置土地、囤地炒地、有违法或不良信用记录的企业及其控股股东不得参与竞买；</w:t>
      </w:r>
    </w:p>
    <w:p>
      <w:pPr>
        <w:pStyle w:val="8"/>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（三）竞买申请人须具备房地产开发资质（或者具备住建部门出具的房地产开发企业资质的核准意见），且同一企业及控股公司只允许一家企业参与竞买。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五、需要说明的事项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（一）地块竞价溢价达到总地价4895万元时，转为采用摇号方式确定竞得人；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（二）该地块所建商品住房单套毛坯住房最高销售单价12542元/㎡；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（三）宗地须符合片区风貌管控要求，与周边地块统一风貌设计；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四）宗地优先用于安置仲恺高新区潼湖镇范围内集体土地征收产生的拆迁安置使用，安置物业户型建筑面积为60㎡、95㎡、120㎡、150㎡，户型户数比例约为1:2:5:2，建设移交标准为按基本建设程序竣工验收合格的毛坯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（五）安置物业以成本价出售给被安置村民，成本价以政府相关部门按程序核定为准；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六）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（七）竞得人除缴交成交地价款外，还需按规定缴交契税等有关税费；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（八）非仲恺高新区注册登记的企业竞得土地使用权的，必须在竞得土地后2个月内在仲恺高新区市场监督管理部门注册成立项目开发公司，并以该公司名义办理土地出让与登记发证手续；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Cs/>
          <w:kern w:val="0"/>
          <w:sz w:val="32"/>
          <w:szCs w:val="32"/>
        </w:rPr>
        <w:t>（九）为推进住宅区养老服务设施建设，竞得人须配建建筑面积≥450㎡的老年人日间照料中心，建成后无偿移交给仲恺高新区社会事务局；由仲恺高新区社会事务局负责提供日间照料中心建设标准、审定建设方案，竞得人须与仲恺高新区社会事务局签订日间照料中心配建及监管协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六、竞买保证金</w:t>
      </w:r>
    </w:p>
    <w:p>
      <w:pPr>
        <w:pStyle w:val="5"/>
        <w:keepNext w:val="0"/>
        <w:keepLines w:val="0"/>
        <w:pageBreakBefore w:val="0"/>
        <w:widowControl w:val="0"/>
        <w:kinsoku/>
        <w:wordWrap/>
        <w:overflowPunct/>
        <w:topLinePunct w:val="0"/>
        <w:autoSpaceDE/>
        <w:autoSpaceDN/>
        <w:bidi w:val="0"/>
        <w:spacing w:before="0" w:line="560" w:lineRule="exact"/>
        <w:jc w:val="both"/>
        <w:textAlignment w:val="auto"/>
        <w:rPr>
          <w:rFonts w:hint="default" w:ascii="Times New Roman" w:hAnsi="Times New Roman" w:cs="Times New Roman"/>
          <w:szCs w:val="32"/>
        </w:rPr>
      </w:pPr>
      <w:r>
        <w:rPr>
          <w:rFonts w:hint="default" w:ascii="Times New Roman" w:hAnsi="Times New Roman" w:cs="Times New Roman"/>
          <w:szCs w:val="32"/>
        </w:rPr>
        <w:t>（一）该宗地竞买保证金为人民币2128万元。</w:t>
      </w:r>
    </w:p>
    <w:p>
      <w:pPr>
        <w:pStyle w:val="33"/>
        <w:keepNext w:val="0"/>
        <w:keepLines w:val="0"/>
        <w:pageBreakBefore w:val="0"/>
        <w:widowControl w:val="0"/>
        <w:tabs>
          <w:tab w:val="left" w:pos="1283"/>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bookmarkStart w:id="1" w:name="bookmark19"/>
      <w:r>
        <w:rPr>
          <w:rFonts w:hint="default" w:ascii="Times New Roman" w:hAnsi="Times New Roman" w:eastAsia="仿宋_GB2312" w:cs="Times New Roman"/>
          <w:color w:val="000000"/>
          <w:sz w:val="32"/>
          <w:szCs w:val="32"/>
        </w:rPr>
        <w:t>（</w:t>
      </w:r>
      <w:bookmarkEnd w:id="1"/>
      <w:r>
        <w:rPr>
          <w:rFonts w:hint="default" w:ascii="Times New Roman" w:hAnsi="Times New Roman" w:eastAsia="仿宋_GB2312" w:cs="Times New Roman"/>
          <w:color w:val="00000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z w:val="32"/>
          <w:szCs w:val="32"/>
          <w:lang w:val="en-US" w:eastAsia="en-US"/>
        </w:rPr>
        <w:t>https://www.hzgtjy.com/</w:t>
      </w:r>
      <w:r>
        <w:rPr>
          <w:rFonts w:hint="default" w:ascii="Times New Roman" w:hAnsi="Times New Roman" w:eastAsia="仿宋_GB2312" w:cs="Times New Roman"/>
          <w:color w:val="000000"/>
          <w:sz w:val="32"/>
          <w:szCs w:val="32"/>
        </w:rPr>
        <w:t>）获取竞买保证金支付账号。</w:t>
      </w:r>
    </w:p>
    <w:p>
      <w:pPr>
        <w:pStyle w:val="33"/>
        <w:keepNext w:val="0"/>
        <w:keepLines w:val="0"/>
        <w:pageBreakBefore w:val="0"/>
        <w:widowControl w:val="0"/>
        <w:tabs>
          <w:tab w:val="left" w:pos="1283"/>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bookmarkStart w:id="2" w:name="bookmark20"/>
      <w:r>
        <w:rPr>
          <w:rFonts w:hint="default" w:ascii="Times New Roman" w:hAnsi="Times New Roman" w:eastAsia="仿宋_GB2312" w:cs="Times New Roman"/>
          <w:color w:val="000000"/>
          <w:sz w:val="32"/>
          <w:szCs w:val="32"/>
        </w:rPr>
        <w:t>（</w:t>
      </w:r>
      <w:bookmarkEnd w:id="2"/>
      <w:r>
        <w:rPr>
          <w:rFonts w:hint="default" w:ascii="Times New Roman" w:hAnsi="Times New Roman" w:eastAsia="仿宋_GB2312" w:cs="Times New Roman"/>
          <w:color w:val="000000"/>
          <w:sz w:val="32"/>
          <w:szCs w:val="32"/>
        </w:rPr>
        <w:t>三）竞买保证金到账时间以网上挂牌交易系统确认并发出《保证金到账通知书》为准。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七、竞买申请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宗国有建设用地使用权网上挂牌出让只接受网上竞买申请，即通过网上挂牌交易系统进行，不接受电话、邮寄、书面、电子邮件及口头竞买。凡符合竞买资格要求并办理数字证书、按要求足额交纳竞买保证金的申请人，方可参加网上挂牌交易活动。</w:t>
      </w:r>
    </w:p>
    <w:p>
      <w:pPr>
        <w:pStyle w:val="4"/>
        <w:keepNext w:val="0"/>
        <w:keepLines w:val="0"/>
        <w:pageBreakBefore w:val="0"/>
        <w:widowControl w:val="0"/>
        <w:kinsoku/>
        <w:wordWrap/>
        <w:overflowPunct/>
        <w:topLinePunct w:val="0"/>
        <w:autoSpaceDE/>
        <w:autoSpaceDN/>
        <w:bidi w:val="0"/>
        <w:spacing w:line="560" w:lineRule="exact"/>
        <w:ind w:firstLine="579" w:firstLineChars="18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本宗国有建设用地使用权网上挂牌出让实行竞买资格后置审查。竞买申请人交纳足额竞买保证金即获得竞买报价权限。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八、竞买人电子报价、电子限时竞价及摇号</w:t>
      </w:r>
    </w:p>
    <w:p>
      <w:pPr>
        <w:pStyle w:val="4"/>
        <w:keepNext w:val="0"/>
        <w:keepLines w:val="0"/>
        <w:pageBreakBefore w:val="0"/>
        <w:widowControl w:val="0"/>
        <w:kinsoku/>
        <w:wordWrap/>
        <w:overflowPunct/>
        <w:topLinePunct w:val="0"/>
        <w:autoSpaceDE/>
        <w:autoSpaceDN/>
        <w:bidi w:val="0"/>
        <w:spacing w:line="560" w:lineRule="exact"/>
        <w:ind w:firstLine="579" w:firstLineChars="18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九、确定成交候选人</w:t>
      </w:r>
    </w:p>
    <w:p>
      <w:pPr>
        <w:pStyle w:val="4"/>
        <w:keepNext w:val="0"/>
        <w:keepLines w:val="0"/>
        <w:pageBreakBefore w:val="0"/>
        <w:widowControl w:val="0"/>
        <w:kinsoku/>
        <w:wordWrap/>
        <w:overflowPunct/>
        <w:topLinePunct w:val="0"/>
        <w:autoSpaceDE/>
        <w:autoSpaceDN/>
        <w:bidi w:val="0"/>
        <w:spacing w:line="560" w:lineRule="exact"/>
        <w:ind w:firstLine="579" w:firstLineChars="18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本宗国有建设用地使用权网上挂牌出让为无底价挂牌，采取</w:t>
      </w:r>
      <w:r>
        <w:rPr>
          <w:rFonts w:hint="default" w:ascii="Times New Roman" w:hAnsi="Times New Roman" w:eastAsia="仿宋_GB2312" w:cs="Times New Roman"/>
          <w:bCs/>
          <w:sz w:val="32"/>
          <w:szCs w:val="32"/>
        </w:rPr>
        <w:t>“限地价、摇号”</w:t>
      </w:r>
      <w:r>
        <w:rPr>
          <w:rFonts w:hint="default" w:ascii="Times New Roman" w:hAnsi="Times New Roman" w:eastAsia="仿宋_GB2312" w:cs="Times New Roman"/>
          <w:sz w:val="32"/>
          <w:szCs w:val="32"/>
        </w:rPr>
        <w:t>方式出让并确定成交候选人。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十、资格审查</w:t>
      </w:r>
    </w:p>
    <w:p>
      <w:pPr>
        <w:pStyle w:val="4"/>
        <w:keepNext w:val="0"/>
        <w:keepLines w:val="0"/>
        <w:pageBreakBefore w:val="0"/>
        <w:widowControl w:val="0"/>
        <w:kinsoku/>
        <w:wordWrap/>
        <w:overflowPunct/>
        <w:topLinePunct w:val="0"/>
        <w:autoSpaceDE/>
        <w:autoSpaceDN/>
        <w:bidi w:val="0"/>
        <w:spacing w:line="560" w:lineRule="exact"/>
        <w:ind w:firstLine="579" w:firstLineChars="18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成交候选人应在网上挂牌交易系统确定成交候选人之日起5个工作日内将竞买申请纸质材料提交至我局，由我局对竞买资格进行审查。我局将于</w:t>
      </w: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年4月3日</w:t>
      </w:r>
      <w:r>
        <w:rPr>
          <w:rFonts w:hint="default" w:ascii="Times New Roman" w:hAnsi="Times New Roman" w:eastAsia="仿宋_GB2312" w:cs="Times New Roman"/>
          <w:sz w:val="32"/>
          <w:szCs w:val="32"/>
        </w:rPr>
        <w:t>前确定符合竞买资格的成交候选人为竞得人。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成交候选人资格审查须提交下列材料（一式两份）：</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（一）《竞买申请书》（加盖公章）；</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（二）《竞价结果通知书》（加盖公章）；</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（三）《竞买保证金到账通知书》（加盖公章）；</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（四）竞买保证金转账凭证复印件（加盖公章）；</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（五）申请竞买人有效的《营业执照》复印件（加盖公章）；</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（六）法定代表人身份证复印件（加盖公章）；</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（七）授权他人代理的授权委托书及代理人身份证复印件（核对原件）；</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（八）房地产开发资质材料</w:t>
      </w:r>
      <w:r>
        <w:rPr>
          <w:rFonts w:hint="default" w:ascii="Times New Roman" w:hAnsi="Times New Roman" w:eastAsia="仿宋_GB2312" w:cs="Times New Roman"/>
          <w:kern w:val="2"/>
          <w:sz w:val="32"/>
          <w:szCs w:val="32"/>
          <w:lang w:eastAsia="zh-CN"/>
        </w:rPr>
        <w:t>；</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（九）购地资金来源承诺书。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十一、签订成交确认书、出让合同及支付土地出让金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竞得人应在接到竞得人确定通知之日起</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个工作日内</w:t>
      </w:r>
      <w:r>
        <w:rPr>
          <w:rFonts w:hint="default" w:ascii="Times New Roman" w:hAnsi="Times New Roman" w:eastAsia="仿宋_GB2312" w:cs="Times New Roman"/>
          <w:b w:val="0"/>
          <w:bCs w:val="0"/>
          <w:color w:val="auto"/>
          <w:sz w:val="32"/>
          <w:szCs w:val="32"/>
          <w:highlight w:val="none"/>
          <w:lang w:eastAsia="zh-CN"/>
        </w:rPr>
        <w:t>与我局、</w:t>
      </w:r>
      <w:r>
        <w:rPr>
          <w:rFonts w:hint="default" w:ascii="Times New Roman" w:hAnsi="Times New Roman" w:eastAsia="仿宋_GB2312" w:cs="Times New Roman"/>
          <w:b w:val="0"/>
          <w:bCs w:val="0"/>
          <w:color w:val="auto"/>
          <w:sz w:val="32"/>
          <w:szCs w:val="32"/>
          <w:highlight w:val="none"/>
          <w:lang w:val="en-US" w:eastAsia="zh-CN"/>
        </w:rPr>
        <w:t>惠州市公共资源交易中心仲恺分中心</w:t>
      </w:r>
      <w:r>
        <w:rPr>
          <w:rFonts w:hint="default" w:ascii="Times New Roman" w:hAnsi="Times New Roman" w:eastAsia="仿宋_GB2312" w:cs="Times New Roman"/>
          <w:b w:val="0"/>
          <w:bCs w:val="0"/>
          <w:color w:val="auto"/>
          <w:sz w:val="32"/>
          <w:szCs w:val="32"/>
          <w:highlight w:val="none"/>
        </w:rPr>
        <w:t>签订《成交确认书》，签订《成交确认书》之日起5个工作日内，须向</w:t>
      </w:r>
      <w:r>
        <w:rPr>
          <w:rFonts w:hint="default" w:ascii="Times New Roman" w:hAnsi="Times New Roman" w:eastAsia="仿宋_GB2312" w:cs="Times New Roman"/>
          <w:b w:val="0"/>
          <w:bCs w:val="0"/>
          <w:color w:val="auto"/>
          <w:sz w:val="32"/>
          <w:szCs w:val="32"/>
          <w:highlight w:val="none"/>
          <w:lang w:val="en-US" w:eastAsia="zh-CN"/>
        </w:rPr>
        <w:t>我</w:t>
      </w:r>
      <w:r>
        <w:rPr>
          <w:rFonts w:hint="default" w:ascii="Times New Roman" w:hAnsi="Times New Roman" w:eastAsia="仿宋_GB2312" w:cs="Times New Roman"/>
          <w:b w:val="0"/>
          <w:bCs w:val="0"/>
          <w:color w:val="auto"/>
          <w:sz w:val="32"/>
          <w:szCs w:val="32"/>
          <w:highlight w:val="none"/>
        </w:rPr>
        <w:t>局提交申请受让国有建设用地使用权的有关材料；签订《成交确认书》之日起10个工作日内，须与</w:t>
      </w:r>
      <w:r>
        <w:rPr>
          <w:rFonts w:hint="default" w:ascii="Times New Roman" w:hAnsi="Times New Roman" w:eastAsia="仿宋_GB2312" w:cs="Times New Roman"/>
          <w:b w:val="0"/>
          <w:bCs w:val="0"/>
          <w:color w:val="auto"/>
          <w:sz w:val="32"/>
          <w:szCs w:val="32"/>
          <w:highlight w:val="none"/>
          <w:lang w:val="en-US" w:eastAsia="zh-CN"/>
        </w:rPr>
        <w:t>我局</w:t>
      </w:r>
      <w:r>
        <w:rPr>
          <w:rFonts w:hint="default" w:ascii="Times New Roman" w:hAnsi="Times New Roman" w:eastAsia="仿宋_GB2312" w:cs="Times New Roman"/>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付清出让金及有关税费后，竞得人可申请办理建设用地审批及土地登记发证手续。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十二、竞买保证金退还或转付成交价款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未成功竞得的竞买人所交竞买保证金，在5个工作日内予以退还；若违法违规竞买的，按有关规定处罚后予以退还。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竞得人签订《成交确认书》后，缴交的保证金中按成交价的20%转作定金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竞得人逾期或拒绝签订《出让合同》的，定金不予退还。竞得人签订《出让合同》后，定金转作土地出让价款。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十三、违规责任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（二）提供虚假文件材料，隐瞒重要事实的；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（四）无正当理由逾期或拒绝签订成交确认书的；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十四、其他需要公告的事项</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（一）本宗地网上挂牌出让的详细资料和具体要求，见网上挂牌交易系统。申请人可在网上挂牌交易系统下载挂牌出让公告、须知及相关交易文件。</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（二）有意竞买者可以自行到地块现场踏勘（可在网上挂牌交易系统查阅用地红线图）。</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（三）竞买申请一经受理确认后，即视为竞买人对网上挂牌出让公告、须知、相关交易文件及地块现状无异议并全部接受，并对有关承诺承担法律责任。</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（四）地块动工竣工时间及地块交付时间</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《出让合同》签订之日交付土地；动工时间为土地交付之日起1年内，竣工时间为土地交付之日起3年内。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（五）该宗地交易全程适用《惠州市政务服务数据管理局 惠州市公共资源交易中心公共资源电子交易规则》（惠市政数〔2022〕3号）。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十五、联系方式：</w:t>
      </w:r>
    </w:p>
    <w:p>
      <w:pPr>
        <w:keepNext w:val="0"/>
        <w:keepLines w:val="0"/>
        <w:pageBreakBefore w:val="0"/>
        <w:widowControl w:val="0"/>
        <w:kinsoku/>
        <w:wordWrap/>
        <w:overflowPunct/>
        <w:topLinePunct w:val="0"/>
        <w:autoSpaceDE/>
        <w:autoSpaceDN/>
        <w:bidi w:val="0"/>
        <w:spacing w:line="560" w:lineRule="exact"/>
        <w:ind w:right="64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出让方：惠州市仲恺高新区国土资源分局</w:t>
      </w:r>
    </w:p>
    <w:p>
      <w:pPr>
        <w:pStyle w:val="2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kern w:val="0"/>
          <w:sz w:val="32"/>
          <w:szCs w:val="32"/>
        </w:rPr>
        <w:t>广东省惠州市仲恺高新区和畅五路人才服务</w:t>
      </w:r>
    </w:p>
    <w:p>
      <w:pPr>
        <w:pStyle w:val="25"/>
        <w:keepNext w:val="0"/>
        <w:keepLines w:val="0"/>
        <w:pageBreakBefore w:val="0"/>
        <w:widowControl w:val="0"/>
        <w:kinsoku/>
        <w:wordWrap/>
        <w:overflowPunct/>
        <w:topLinePunct w:val="0"/>
        <w:autoSpaceDE/>
        <w:autoSpaceDN/>
        <w:bidi w:val="0"/>
        <w:spacing w:line="560" w:lineRule="exact"/>
        <w:ind w:firstLine="2240" w:firstLineChars="7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大厦</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楼</w:t>
      </w:r>
    </w:p>
    <w:p>
      <w:pPr>
        <w:keepNext w:val="0"/>
        <w:keepLines w:val="0"/>
        <w:pageBreakBefore w:val="0"/>
        <w:widowControl w:val="0"/>
        <w:kinsoku/>
        <w:wordWrap/>
        <w:overflowPunct/>
        <w:topLinePunct w:val="0"/>
        <w:autoSpaceDE/>
        <w:autoSpaceDN/>
        <w:bidi w:val="0"/>
        <w:spacing w:line="560" w:lineRule="exact"/>
        <w:ind w:right="64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联系人：游女士</w:t>
      </w:r>
    </w:p>
    <w:p>
      <w:pPr>
        <w:keepNext w:val="0"/>
        <w:keepLines w:val="0"/>
        <w:pageBreakBefore w:val="0"/>
        <w:widowControl w:val="0"/>
        <w:kinsoku/>
        <w:wordWrap/>
        <w:overflowPunct/>
        <w:topLinePunct w:val="0"/>
        <w:autoSpaceDE/>
        <w:autoSpaceDN/>
        <w:bidi w:val="0"/>
        <w:spacing w:line="560" w:lineRule="exact"/>
        <w:ind w:right="64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eastAsia="en-US"/>
        </w:rPr>
        <w:t>0752-3271636</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交易机构：惠州市公共资源交易中心仲恺分中心</w:t>
      </w:r>
    </w:p>
    <w:p>
      <w:pPr>
        <w:pStyle w:val="2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kern w:val="0"/>
          <w:sz w:val="32"/>
          <w:szCs w:val="32"/>
        </w:rPr>
        <w:t>广东省惠州市仲恺高新区和畅五路人才服务</w:t>
      </w:r>
    </w:p>
    <w:p>
      <w:pPr>
        <w:pStyle w:val="25"/>
        <w:keepNext w:val="0"/>
        <w:keepLines w:val="0"/>
        <w:pageBreakBefore w:val="0"/>
        <w:widowControl w:val="0"/>
        <w:kinsoku/>
        <w:wordWrap/>
        <w:overflowPunct/>
        <w:topLinePunct w:val="0"/>
        <w:autoSpaceDE/>
        <w:autoSpaceDN/>
        <w:bidi w:val="0"/>
        <w:spacing w:line="560" w:lineRule="exact"/>
        <w:ind w:firstLine="2240" w:firstLineChars="7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大厦10楼</w:t>
      </w:r>
    </w:p>
    <w:p>
      <w:pPr>
        <w:pStyle w:val="2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kern w:val="0"/>
          <w:sz w:val="32"/>
          <w:szCs w:val="32"/>
        </w:rPr>
        <w:t>汪先生 房女士 欧阳先生</w:t>
      </w:r>
    </w:p>
    <w:p>
      <w:pPr>
        <w:pStyle w:val="2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kern w:val="0"/>
          <w:sz w:val="32"/>
          <w:szCs w:val="32"/>
        </w:rPr>
        <w:t>0752-3278419</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中国土地市场网: </w:t>
      </w:r>
      <w:r>
        <w:rPr>
          <w:rFonts w:hint="default" w:ascii="Times New Roman" w:hAnsi="Times New Roman" w:eastAsia="仿宋_GB2312" w:cs="Times New Roman"/>
          <w:color w:val="auto"/>
          <w:sz w:val="32"/>
          <w:szCs w:val="32"/>
          <w:u w:val="none"/>
        </w:rPr>
        <w:t>http://www.landchina.com</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广东省公共资源交易平台：https://ygp.gdzwfw.gov.cn/</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惠州市公共资源交易中心网：</w:t>
      </w:r>
      <w:r>
        <w:rPr>
          <w:rFonts w:hint="default" w:ascii="Times New Roman" w:hAnsi="Times New Roman" w:eastAsia="仿宋_GB2312" w:cs="Times New Roman"/>
          <w:color w:val="auto"/>
          <w:sz w:val="32"/>
          <w:szCs w:val="32"/>
          <w:u w:val="none"/>
        </w:rPr>
        <w:t>http://zyjy.huizhou.gov.cn</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惠州市公共资源交易中心仲恺分中心网站：</w:t>
      </w:r>
      <w:r>
        <w:rPr>
          <w:rFonts w:hint="default" w:ascii="Times New Roman" w:hAnsi="Times New Roman" w:eastAsia="仿宋_GB2312" w:cs="Times New Roman"/>
          <w:color w:val="auto"/>
          <w:sz w:val="32"/>
          <w:szCs w:val="32"/>
          <w:u w:val="none"/>
        </w:rPr>
        <w:t>http://www.hzzk.gov.cn/gwhbm/hzsggzyjyzxzzfzx/index.html</w:t>
      </w:r>
    </w:p>
    <w:p>
      <w:pPr>
        <w:pStyle w:val="19"/>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cs="Times New Roman"/>
        </w:rPr>
      </w:pPr>
      <w:r>
        <w:rPr>
          <w:rFonts w:hint="default" w:ascii="Times New Roman" w:hAnsi="Times New Roman" w:eastAsia="仿宋_GB2312" w:cs="Times New Roman"/>
        </w:rPr>
        <w:t>惠州市仲恺高新区国土资源分局网站：</w:t>
      </w:r>
      <w:r>
        <w:rPr>
          <w:rFonts w:hint="default" w:ascii="Times New Roman" w:hAnsi="Times New Roman" w:eastAsia="仿宋_GB2312" w:cs="Times New Roman"/>
          <w:color w:val="auto"/>
          <w:u w:val="none"/>
        </w:rPr>
        <w:t>http://www.hzzk.gov.cn/gwhbm/zzgxqgtzyfj/</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惠州市公共资源交易中心仲恺分中心服务大厅电子屏幕。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数字证书办理地址：广东省惠州市惠城区三新北路31号市民服务中心3号楼惠州市公共资源交易中心一楼大厅1号土地与矿业交易窗口。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联系人：罗工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联系电话：0752-7121029</w:t>
      </w:r>
    </w:p>
    <w:p>
      <w:pPr>
        <w:pStyle w:val="4"/>
        <w:keepNext w:val="0"/>
        <w:keepLines w:val="0"/>
        <w:pageBreakBefore w:val="0"/>
        <w:widowControl w:val="0"/>
        <w:kinsoku/>
        <w:wordWrap/>
        <w:overflowPunct/>
        <w:topLinePunct w:val="0"/>
        <w:autoSpaceDE/>
        <w:autoSpaceDN/>
        <w:bidi w:val="0"/>
        <w:spacing w:line="56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bidi w:val="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bidi w:val="0"/>
        <w:textAlignment w:val="auto"/>
        <w:rPr>
          <w:rFonts w:hint="default" w:ascii="Times New Roman" w:hAnsi="Times New Roman" w:cs="Times New Roman"/>
        </w:rPr>
      </w:pPr>
    </w:p>
    <w:p>
      <w:pPr>
        <w:pStyle w:val="2"/>
        <w:keepNext w:val="0"/>
        <w:keepLines w:val="0"/>
        <w:pageBreakBefore w:val="0"/>
        <w:widowControl w:val="0"/>
        <w:kinsoku/>
        <w:overflowPunct/>
        <w:topLinePunct w:val="0"/>
        <w:bidi w:val="0"/>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惠州市仲恺高新区国土资源分局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val="0"/>
        <w:overflowPunct/>
        <w:topLinePunct w:val="0"/>
        <w:autoSpaceDE/>
        <w:autoSpaceDN/>
        <w:bidi w:val="0"/>
        <w:spacing w:line="560" w:lineRule="exact"/>
        <w:jc w:val="right"/>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2023年2月21日</w:t>
      </w:r>
      <w:r>
        <w:rPr>
          <w:rFonts w:hint="default" w:ascii="Times New Roman" w:hAnsi="Times New Roman" w:eastAsia="仿宋_GB2312" w:cs="Times New Roman"/>
          <w:sz w:val="32"/>
          <w:szCs w:val="32"/>
          <w:highlight w:val="none"/>
          <w:lang w:val="en-US" w:eastAsia="zh-CN"/>
        </w:rPr>
        <w:t xml:space="preserve">         </w:t>
      </w:r>
    </w:p>
    <w:p>
      <w:pPr>
        <w:pStyle w:val="33"/>
        <w:keepNext w:val="0"/>
        <w:keepLines w:val="0"/>
        <w:pageBreakBefore w:val="0"/>
        <w:widowControl w:val="0"/>
        <w:kinsoku/>
        <w:overflowPunct/>
        <w:topLinePunct w:val="0"/>
        <w:bidi w:val="0"/>
        <w:spacing w:after="260" w:line="240" w:lineRule="auto"/>
        <w:ind w:firstLine="0"/>
        <w:jc w:val="left"/>
        <w:textAlignment w:val="auto"/>
        <w:rPr>
          <w:rFonts w:hint="default" w:ascii="Times New Roman" w:hAnsi="Times New Roman" w:eastAsia="黑体" w:cs="Times New Roman"/>
        </w:rPr>
      </w:pPr>
      <w:r>
        <w:rPr>
          <w:rFonts w:hint="default" w:ascii="Times New Roman" w:hAnsi="Times New Roman" w:eastAsia="黑体" w:cs="Times New Roman"/>
          <w:color w:val="000000"/>
        </w:rPr>
        <w:t>附表:</w:t>
      </w:r>
    </w:p>
    <w:p>
      <w:pPr>
        <w:pStyle w:val="34"/>
        <w:keepNext w:val="0"/>
        <w:keepLines w:val="0"/>
        <w:pageBreakBefore w:val="0"/>
        <w:widowControl w:val="0"/>
        <w:kinsoku/>
        <w:overflowPunct/>
        <w:topLinePunct w:val="0"/>
        <w:bidi w:val="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网上挂牌出让地块基本情况及规划建设指标</w:t>
      </w:r>
    </w:p>
    <w:p>
      <w:pPr>
        <w:pStyle w:val="34"/>
        <w:keepNext w:val="0"/>
        <w:keepLines w:val="0"/>
        <w:pageBreakBefore w:val="0"/>
        <w:widowControl w:val="0"/>
        <w:kinsoku/>
        <w:overflowPunct/>
        <w:topLinePunct w:val="0"/>
        <w:bidi w:val="0"/>
        <w:jc w:val="center"/>
        <w:textAlignment w:val="auto"/>
        <w:rPr>
          <w:rFonts w:hint="default" w:ascii="Times New Roman" w:hAnsi="Times New Roman" w:cs="Times New Roman"/>
          <w:color w:val="000000"/>
        </w:rPr>
      </w:pPr>
    </w:p>
    <w:tbl>
      <w:tblPr>
        <w:tblStyle w:val="9"/>
        <w:tblW w:w="15612" w:type="dxa"/>
        <w:jc w:val="center"/>
        <w:shd w:val="clear" w:color="auto" w:fill="auto"/>
        <w:tblLayout w:type="fixed"/>
        <w:tblCellMar>
          <w:top w:w="0" w:type="dxa"/>
          <w:left w:w="10" w:type="dxa"/>
          <w:bottom w:w="0" w:type="dxa"/>
          <w:right w:w="10" w:type="dxa"/>
        </w:tblCellMar>
      </w:tblPr>
      <w:tblGrid>
        <w:gridCol w:w="642"/>
        <w:gridCol w:w="630"/>
        <w:gridCol w:w="1140"/>
        <w:gridCol w:w="516"/>
        <w:gridCol w:w="1116"/>
        <w:gridCol w:w="936"/>
        <w:gridCol w:w="708"/>
        <w:gridCol w:w="852"/>
        <w:gridCol w:w="1740"/>
        <w:gridCol w:w="569"/>
        <w:gridCol w:w="1794"/>
        <w:gridCol w:w="647"/>
        <w:gridCol w:w="698"/>
        <w:gridCol w:w="864"/>
        <w:gridCol w:w="840"/>
        <w:gridCol w:w="1056"/>
        <w:gridCol w:w="864"/>
      </w:tblGrid>
      <w:tr>
        <w:tblPrEx>
          <w:shd w:val="clear" w:color="auto" w:fill="auto"/>
        </w:tblPrEx>
        <w:trPr>
          <w:trHeight w:val="432" w:hRule="exact"/>
          <w:jc w:val="center"/>
        </w:trPr>
        <w:tc>
          <w:tcPr>
            <w:tcW w:w="642" w:type="dxa"/>
            <w:vMerge w:val="restart"/>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挂牌地块编号</w:t>
            </w:r>
          </w:p>
        </w:tc>
        <w:tc>
          <w:tcPr>
            <w:tcW w:w="630" w:type="dxa"/>
            <w:vMerge w:val="restart"/>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土地位置</w:t>
            </w:r>
          </w:p>
        </w:tc>
        <w:tc>
          <w:tcPr>
            <w:tcW w:w="1140" w:type="dxa"/>
            <w:vMerge w:val="restart"/>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用地编</w:t>
            </w:r>
            <w:r>
              <w:rPr>
                <w:rFonts w:hint="default" w:ascii="Times New Roman" w:hAnsi="Times New Roman" w:cs="Times New Roman"/>
                <w:color w:val="000000"/>
                <w:sz w:val="22"/>
                <w:szCs w:val="22"/>
                <w:lang w:val="en-US" w:eastAsia="zh-CN"/>
              </w:rPr>
              <w:t>号</w:t>
            </w:r>
          </w:p>
        </w:tc>
        <w:tc>
          <w:tcPr>
            <w:tcW w:w="516" w:type="dxa"/>
            <w:vMerge w:val="restart"/>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土</w:t>
            </w:r>
            <w:r>
              <w:rPr>
                <w:rFonts w:hint="default" w:ascii="Times New Roman" w:hAnsi="Times New Roman" w:cs="Times New Roman"/>
                <w:color w:val="000000"/>
                <w:sz w:val="22"/>
                <w:szCs w:val="22"/>
              </w:rPr>
              <w:t>地用途</w:t>
            </w:r>
          </w:p>
        </w:tc>
        <w:tc>
          <w:tcPr>
            <w:tcW w:w="8362" w:type="dxa"/>
            <w:gridSpan w:val="8"/>
            <w:tcBorders>
              <w:top w:val="single" w:color="auto" w:sz="4" w:space="0"/>
              <w:left w:val="single" w:color="auto" w:sz="4" w:space="0"/>
            </w:tcBorders>
            <w:shd w:val="clear" w:color="auto" w:fill="auto"/>
            <w:vAlign w:val="bottom"/>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出让</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年限</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挂牌</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加价</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幅度</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竞买</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保证金</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（万元）</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保证金截止时间</w:t>
            </w:r>
          </w:p>
        </w:tc>
      </w:tr>
      <w:tr>
        <w:tblPrEx>
          <w:shd w:val="clear" w:color="auto" w:fill="auto"/>
          <w:tblCellMar>
            <w:top w:w="0" w:type="dxa"/>
            <w:left w:w="10" w:type="dxa"/>
            <w:bottom w:w="0" w:type="dxa"/>
            <w:right w:w="10" w:type="dxa"/>
          </w:tblCellMar>
        </w:tblPrEx>
        <w:trPr>
          <w:trHeight w:val="1433" w:hRule="exact"/>
          <w:jc w:val="center"/>
        </w:trPr>
        <w:tc>
          <w:tcPr>
            <w:tcW w:w="642" w:type="dxa"/>
            <w:vMerge w:val="continue"/>
            <w:tcBorders>
              <w:lef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rPr>
            </w:pPr>
          </w:p>
        </w:tc>
        <w:tc>
          <w:tcPr>
            <w:tcW w:w="630" w:type="dxa"/>
            <w:vMerge w:val="continue"/>
            <w:tcBorders>
              <w:lef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rPr>
            </w:pPr>
          </w:p>
        </w:tc>
        <w:tc>
          <w:tcPr>
            <w:tcW w:w="1140" w:type="dxa"/>
            <w:vMerge w:val="continue"/>
            <w:tcBorders>
              <w:lef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rPr>
            </w:pPr>
          </w:p>
        </w:tc>
        <w:tc>
          <w:tcPr>
            <w:tcW w:w="516" w:type="dxa"/>
            <w:vMerge w:val="continue"/>
            <w:tcBorders>
              <w:lef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rPr>
            </w:pPr>
          </w:p>
        </w:tc>
        <w:tc>
          <w:tcPr>
            <w:tcW w:w="1116" w:type="dxa"/>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计算指标用地面积</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w:t>
            </w:r>
          </w:p>
        </w:tc>
        <w:tc>
          <w:tcPr>
            <w:tcW w:w="936" w:type="dxa"/>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宗地使用权面积</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w:t>
            </w:r>
          </w:p>
        </w:tc>
        <w:tc>
          <w:tcPr>
            <w:tcW w:w="708" w:type="dxa"/>
            <w:tcBorders>
              <w:top w:val="single" w:color="auto" w:sz="4" w:space="0"/>
              <w:left w:val="single" w:color="auto" w:sz="4" w:space="0"/>
            </w:tcBorders>
            <w:shd w:val="clear" w:color="auto" w:fill="auto"/>
          </w:tcPr>
          <w:p>
            <w:pPr>
              <w:pStyle w:val="35"/>
              <w:keepNext w:val="0"/>
              <w:keepLines w:val="0"/>
              <w:pageBreakBefore w:val="0"/>
              <w:widowControl w:val="0"/>
              <w:kinsoku/>
              <w:overflowPunct/>
              <w:topLinePunct w:val="0"/>
              <w:bidi w:val="0"/>
              <w:spacing w:line="260"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建</w:t>
            </w:r>
          </w:p>
          <w:p>
            <w:pPr>
              <w:pStyle w:val="35"/>
              <w:keepNext w:val="0"/>
              <w:keepLines w:val="0"/>
              <w:pageBreakBefore w:val="0"/>
              <w:widowControl w:val="0"/>
              <w:kinsoku/>
              <w:overflowPunct/>
              <w:topLinePunct w:val="0"/>
              <w:bidi w:val="0"/>
              <w:spacing w:line="260"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筑</w:t>
            </w:r>
          </w:p>
          <w:p>
            <w:pPr>
              <w:pStyle w:val="35"/>
              <w:keepNext w:val="0"/>
              <w:keepLines w:val="0"/>
              <w:pageBreakBefore w:val="0"/>
              <w:widowControl w:val="0"/>
              <w:kinsoku/>
              <w:overflowPunct/>
              <w:topLinePunct w:val="0"/>
              <w:bidi w:val="0"/>
              <w:spacing w:line="260"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密</w:t>
            </w:r>
          </w:p>
          <w:p>
            <w:pPr>
              <w:pStyle w:val="35"/>
              <w:keepNext w:val="0"/>
              <w:keepLines w:val="0"/>
              <w:pageBreakBefore w:val="0"/>
              <w:widowControl w:val="0"/>
              <w:kinsoku/>
              <w:overflowPunct/>
              <w:topLinePunct w:val="0"/>
              <w:bidi w:val="0"/>
              <w:spacing w:line="260"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度</w:t>
            </w:r>
          </w:p>
          <w:p>
            <w:pPr>
              <w:pStyle w:val="35"/>
              <w:keepNext w:val="0"/>
              <w:keepLines w:val="0"/>
              <w:pageBreakBefore w:val="0"/>
              <w:widowControl w:val="0"/>
              <w:kinsoku/>
              <w:overflowPunct/>
              <w:topLinePunct w:val="0"/>
              <w:bidi w:val="0"/>
              <w:spacing w:line="260" w:lineRule="exact"/>
              <w:ind w:firstLine="0"/>
              <w:jc w:val="center"/>
              <w:textAlignment w:val="auto"/>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eastAsia="zh-CN"/>
              </w:rPr>
              <w:t>（%）</w:t>
            </w:r>
          </w:p>
        </w:tc>
        <w:tc>
          <w:tcPr>
            <w:tcW w:w="852" w:type="dxa"/>
            <w:tcBorders>
              <w:top w:val="single" w:color="auto" w:sz="4" w:space="0"/>
              <w:lef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容</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积</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率</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R</w:t>
            </w:r>
          </w:p>
        </w:tc>
        <w:tc>
          <w:tcPr>
            <w:tcW w:w="1740" w:type="dxa"/>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计容积率建筑面积</w:t>
            </w:r>
            <w:r>
              <w:rPr>
                <w:rFonts w:hint="default" w:ascii="Times New Roman" w:hAnsi="Times New Roman" w:cs="Times New Roman"/>
                <w:color w:val="000000"/>
                <w:sz w:val="22"/>
                <w:szCs w:val="22"/>
                <w:lang w:val="en-US" w:eastAsia="zh-CN"/>
              </w:rPr>
              <w:t xml:space="preserve"> S</w:t>
            </w: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w:t>
            </w:r>
          </w:p>
        </w:tc>
        <w:tc>
          <w:tcPr>
            <w:tcW w:w="569" w:type="dxa"/>
            <w:tcBorders>
              <w:top w:val="single" w:color="auto" w:sz="4" w:space="0"/>
              <w:left w:val="single" w:color="auto" w:sz="4" w:space="0"/>
            </w:tcBorders>
            <w:shd w:val="clear" w:color="auto" w:fill="auto"/>
            <w:vAlign w:val="center"/>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绿地率</w:t>
            </w:r>
            <w:r>
              <w:rPr>
                <w:rFonts w:hint="default" w:ascii="Times New Roman" w:hAnsi="Times New Roman" w:cs="Times New Roman"/>
                <w:color w:val="000000"/>
                <w:sz w:val="22"/>
                <w:szCs w:val="22"/>
                <w:lang w:val="en-US" w:eastAsia="zh-CN"/>
              </w:rPr>
              <w:t>（%）</w:t>
            </w:r>
          </w:p>
        </w:tc>
        <w:tc>
          <w:tcPr>
            <w:tcW w:w="1794" w:type="dxa"/>
            <w:tcBorders>
              <w:top w:val="single" w:color="auto" w:sz="4" w:space="0"/>
              <w:lef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机动车停车位配建要求</w:t>
            </w:r>
          </w:p>
        </w:tc>
        <w:tc>
          <w:tcPr>
            <w:tcW w:w="647" w:type="dxa"/>
            <w:tcBorders>
              <w:top w:val="single" w:color="auto" w:sz="4" w:space="0"/>
              <w:left w:val="single" w:color="auto" w:sz="4" w:space="0"/>
            </w:tcBorders>
            <w:shd w:val="clear" w:color="auto" w:fill="auto"/>
          </w:tcPr>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p>
          <w:p>
            <w:pPr>
              <w:pStyle w:val="35"/>
              <w:keepNext w:val="0"/>
              <w:keepLines w:val="0"/>
              <w:pageBreakBefore w:val="0"/>
              <w:widowControl w:val="0"/>
              <w:kinsoku/>
              <w:overflowPunct/>
              <w:topLinePunct w:val="0"/>
              <w:bidi w:val="0"/>
              <w:spacing w:line="324" w:lineRule="exact"/>
              <w:ind w:firstLine="0"/>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其他</w:t>
            </w:r>
          </w:p>
        </w:tc>
        <w:tc>
          <w:tcPr>
            <w:tcW w:w="698" w:type="dxa"/>
            <w:vMerge w:val="continue"/>
            <w:tcBorders>
              <w:left w:val="single" w:color="auto" w:sz="4" w:space="0"/>
              <w:right w:val="single" w:color="auto" w:sz="4" w:space="0"/>
            </w:tcBorders>
            <w:shd w:val="clear" w:color="auto" w:fill="auto"/>
            <w:textDirection w:val="tbRlV"/>
          </w:tcPr>
          <w:p>
            <w:pPr>
              <w:pStyle w:val="36"/>
              <w:keepNext w:val="0"/>
              <w:keepLines w:val="0"/>
              <w:pageBreakBefore w:val="0"/>
              <w:widowControl w:val="0"/>
              <w:kinsoku/>
              <w:overflowPunct/>
              <w:topLinePunct w:val="0"/>
              <w:bidi w:val="0"/>
              <w:spacing w:before="340" w:line="240" w:lineRule="auto"/>
              <w:textAlignment w:val="auto"/>
              <w:rPr>
                <w:rFonts w:hint="default" w:ascii="Times New Roman" w:hAnsi="Times New Roman" w:cs="Times New Roman"/>
                <w:lang w:val="en-US" w:eastAsia="zh-CN"/>
              </w:rPr>
            </w:pPr>
          </w:p>
        </w:tc>
        <w:tc>
          <w:tcPr>
            <w:tcW w:w="864" w:type="dxa"/>
            <w:vMerge w:val="continue"/>
            <w:tcBorders>
              <w:left w:val="single" w:color="auto" w:sz="4" w:space="0"/>
              <w:right w:val="single" w:color="auto" w:sz="4" w:space="0"/>
            </w:tcBorders>
            <w:shd w:val="clear" w:color="auto" w:fill="auto"/>
            <w:textDirection w:val="tbRlV"/>
          </w:tcPr>
          <w:p>
            <w:pPr>
              <w:pStyle w:val="36"/>
              <w:keepNext w:val="0"/>
              <w:keepLines w:val="0"/>
              <w:pageBreakBefore w:val="0"/>
              <w:widowControl w:val="0"/>
              <w:kinsoku/>
              <w:overflowPunct/>
              <w:topLinePunct w:val="0"/>
              <w:bidi w:val="0"/>
              <w:spacing w:before="340" w:line="240" w:lineRule="auto"/>
              <w:textAlignment w:val="auto"/>
              <w:rPr>
                <w:rFonts w:hint="default" w:ascii="Times New Roman" w:hAnsi="Times New Roman" w:cs="Times New Roman"/>
                <w:color w:val="000000"/>
              </w:rPr>
            </w:pPr>
          </w:p>
        </w:tc>
        <w:tc>
          <w:tcPr>
            <w:tcW w:w="840" w:type="dxa"/>
            <w:vMerge w:val="continue"/>
            <w:tcBorders>
              <w:left w:val="single" w:color="auto" w:sz="4" w:space="0"/>
              <w:right w:val="single" w:color="auto" w:sz="4" w:space="0"/>
            </w:tcBorders>
            <w:shd w:val="clear" w:color="auto" w:fill="auto"/>
            <w:textDirection w:val="tbRlV"/>
          </w:tcPr>
          <w:p>
            <w:pPr>
              <w:pStyle w:val="36"/>
              <w:keepNext w:val="0"/>
              <w:keepLines w:val="0"/>
              <w:pageBreakBefore w:val="0"/>
              <w:widowControl w:val="0"/>
              <w:kinsoku/>
              <w:overflowPunct/>
              <w:topLinePunct w:val="0"/>
              <w:bidi w:val="0"/>
              <w:spacing w:before="340" w:line="240" w:lineRule="auto"/>
              <w:textAlignment w:val="auto"/>
              <w:rPr>
                <w:rFonts w:hint="default" w:ascii="Times New Roman" w:hAnsi="Times New Roman" w:cs="Times New Roman"/>
                <w:color w:val="000000"/>
              </w:rPr>
            </w:pPr>
          </w:p>
        </w:tc>
        <w:tc>
          <w:tcPr>
            <w:tcW w:w="1056" w:type="dxa"/>
            <w:vMerge w:val="continue"/>
            <w:tcBorders>
              <w:left w:val="single" w:color="auto" w:sz="4" w:space="0"/>
              <w:right w:val="single" w:color="auto" w:sz="4" w:space="0"/>
            </w:tcBorders>
            <w:shd w:val="clear" w:color="auto" w:fill="auto"/>
            <w:textDirection w:val="tbRlV"/>
          </w:tcPr>
          <w:p>
            <w:pPr>
              <w:pStyle w:val="36"/>
              <w:keepNext w:val="0"/>
              <w:keepLines w:val="0"/>
              <w:pageBreakBefore w:val="0"/>
              <w:widowControl w:val="0"/>
              <w:kinsoku/>
              <w:overflowPunct/>
              <w:topLinePunct w:val="0"/>
              <w:bidi w:val="0"/>
              <w:spacing w:before="340" w:line="240" w:lineRule="auto"/>
              <w:textAlignment w:val="auto"/>
              <w:rPr>
                <w:rFonts w:hint="default" w:ascii="Times New Roman" w:hAnsi="Times New Roman" w:cs="Times New Roman"/>
                <w:color w:val="000000"/>
              </w:rPr>
            </w:pPr>
          </w:p>
        </w:tc>
        <w:tc>
          <w:tcPr>
            <w:tcW w:w="864" w:type="dxa"/>
            <w:vMerge w:val="continue"/>
            <w:tcBorders>
              <w:left w:val="single" w:color="auto" w:sz="4" w:space="0"/>
              <w:right w:val="single" w:color="auto" w:sz="4" w:space="0"/>
            </w:tcBorders>
            <w:shd w:val="clear" w:color="auto" w:fill="auto"/>
            <w:textDirection w:val="tbRlV"/>
          </w:tcPr>
          <w:p>
            <w:pPr>
              <w:pStyle w:val="36"/>
              <w:keepNext w:val="0"/>
              <w:keepLines w:val="0"/>
              <w:pageBreakBefore w:val="0"/>
              <w:widowControl w:val="0"/>
              <w:kinsoku/>
              <w:overflowPunct/>
              <w:topLinePunct w:val="0"/>
              <w:bidi w:val="0"/>
              <w:spacing w:before="340" w:line="240" w:lineRule="auto"/>
              <w:textAlignment w:val="auto"/>
              <w:rPr>
                <w:rFonts w:hint="default" w:ascii="Times New Roman" w:hAnsi="Times New Roman" w:cs="Times New Roman"/>
                <w:color w:val="000000"/>
              </w:rPr>
            </w:pPr>
          </w:p>
        </w:tc>
      </w:tr>
      <w:tr>
        <w:tblPrEx>
          <w:tblCellMar>
            <w:top w:w="0" w:type="dxa"/>
            <w:left w:w="10" w:type="dxa"/>
            <w:bottom w:w="0" w:type="dxa"/>
            <w:right w:w="10" w:type="dxa"/>
          </w:tblCellMar>
        </w:tblPrEx>
        <w:trPr>
          <w:trHeight w:val="3715" w:hRule="exact"/>
          <w:jc w:val="center"/>
        </w:trPr>
        <w:tc>
          <w:tcPr>
            <w:tcW w:w="64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10"/>
                <w:szCs w:val="10"/>
              </w:rPr>
            </w:pPr>
            <w:r>
              <w:rPr>
                <w:rFonts w:hint="default" w:ascii="Times New Roman" w:hAnsi="Times New Roman" w:cs="Times New Roman"/>
                <w:sz w:val="18"/>
                <w:szCs w:val="18"/>
              </w:rPr>
              <w:t>惠仲土（用地）挂[2023]011号</w:t>
            </w:r>
          </w:p>
        </w:tc>
        <w:tc>
          <w:tcPr>
            <w:tcW w:w="63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eastAsia="Times New Roman" w:cs="Times New Roman"/>
                <w:sz w:val="20"/>
                <w:szCs w:val="20"/>
              </w:rPr>
              <w:t>惠州仲恺高新区</w:t>
            </w:r>
            <w:r>
              <w:rPr>
                <w:rFonts w:hint="default" w:ascii="Times New Roman" w:hAnsi="Times New Roman" w:cs="Times New Roman"/>
                <w:sz w:val="20"/>
                <w:szCs w:val="20"/>
              </w:rPr>
              <w:t>潼湖镇</w:t>
            </w:r>
            <w:r>
              <w:rPr>
                <w:rFonts w:hint="default" w:ascii="Times New Roman" w:hAnsi="Times New Roman" w:cs="Times New Roman"/>
                <w:sz w:val="20"/>
                <w:szCs w:val="20"/>
                <w:lang w:val="en-US" w:eastAsia="zh-CN"/>
              </w:rPr>
              <w:t>红岗片区</w:t>
            </w:r>
          </w:p>
        </w:tc>
        <w:tc>
          <w:tcPr>
            <w:tcW w:w="114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rPr>
              <w:t>Z</w:t>
            </w:r>
            <w:r>
              <w:rPr>
                <w:rFonts w:hint="default" w:ascii="Times New Roman" w:hAnsi="Times New Roman" w:cs="Times New Roman"/>
                <w:sz w:val="20"/>
                <w:szCs w:val="20"/>
              </w:rPr>
              <w:t>KD-008-16</w:t>
            </w:r>
          </w:p>
        </w:tc>
        <w:tc>
          <w:tcPr>
            <w:tcW w:w="51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住宅</w:t>
            </w:r>
            <w:r>
              <w:rPr>
                <w:rFonts w:hint="eastAsia" w:eastAsia="宋体" w:cs="Times New Roman"/>
                <w:sz w:val="20"/>
                <w:szCs w:val="20"/>
                <w:lang w:val="en-US" w:eastAsia="zh-CN"/>
              </w:rPr>
              <w:t>及商服</w:t>
            </w:r>
            <w:r>
              <w:rPr>
                <w:rFonts w:hint="default" w:ascii="Times New Roman" w:hAnsi="Times New Roman" w:eastAsia="Times New Roman" w:cs="Times New Roman"/>
                <w:sz w:val="20"/>
                <w:szCs w:val="20"/>
              </w:rPr>
              <w:t>用地</w:t>
            </w:r>
          </w:p>
        </w:tc>
        <w:tc>
          <w:tcPr>
            <w:tcW w:w="111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eastAsia="仿宋_GB2312" w:cs="Times New Roman"/>
                <w:bCs/>
                <w:szCs w:val="32"/>
              </w:rPr>
              <w:t>4329</w:t>
            </w:r>
          </w:p>
        </w:tc>
        <w:tc>
          <w:tcPr>
            <w:tcW w:w="93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eastAsia="仿宋_GB2312" w:cs="Times New Roman"/>
                <w:bCs/>
                <w:szCs w:val="32"/>
              </w:rPr>
              <w:t>3462</w:t>
            </w:r>
          </w:p>
        </w:tc>
        <w:tc>
          <w:tcPr>
            <w:tcW w:w="708"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≤22</w:t>
            </w:r>
          </w:p>
        </w:tc>
        <w:tc>
          <w:tcPr>
            <w:tcW w:w="85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rPr>
              <w:t>≤2.</w:t>
            </w:r>
            <w:r>
              <w:rPr>
                <w:rFonts w:hint="default" w:ascii="Times New Roman" w:hAnsi="Times New Roman" w:cs="Times New Roman"/>
                <w:sz w:val="20"/>
                <w:szCs w:val="20"/>
              </w:rPr>
              <w:t>9</w:t>
            </w:r>
          </w:p>
        </w:tc>
        <w:tc>
          <w:tcPr>
            <w:tcW w:w="174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rPr>
              <w:t>≤</w:t>
            </w:r>
            <w:r>
              <w:rPr>
                <w:rFonts w:hint="eastAsia" w:eastAsia="宋体" w:cs="Times New Roman"/>
                <w:sz w:val="20"/>
                <w:szCs w:val="20"/>
                <w:lang w:val="en-US" w:eastAsia="zh-CN"/>
              </w:rPr>
              <w:t>12554</w:t>
            </w:r>
            <w:r>
              <w:rPr>
                <w:rFonts w:hint="default" w:ascii="Times New Roman" w:hAnsi="Times New Roman" w:cs="Times New Roman"/>
                <w:sz w:val="20"/>
                <w:szCs w:val="20"/>
              </w:rPr>
              <w:t>（其中服务设施建筑面积比例为5~10%）</w:t>
            </w:r>
          </w:p>
        </w:tc>
        <w:tc>
          <w:tcPr>
            <w:tcW w:w="56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≥35</w:t>
            </w:r>
          </w:p>
        </w:tc>
        <w:tc>
          <w:tcPr>
            <w:tcW w:w="179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按每100㎡计容积率建筑面积≥1.0个配置，地面停车数占总停车数的比例≤10%。配建停车位应按要求建设充电基础设施或预留建设安装条件</w:t>
            </w:r>
            <w:r>
              <w:rPr>
                <w:rFonts w:hint="default" w:ascii="Times New Roman" w:hAnsi="Times New Roman" w:cs="Times New Roman"/>
                <w:sz w:val="20"/>
                <w:szCs w:val="20"/>
              </w:rPr>
              <w:t>，需配建5G通信基站2个，每处基站建筑面积≥35㎡</w:t>
            </w:r>
            <w:r>
              <w:rPr>
                <w:rFonts w:hint="default" w:ascii="Times New Roman" w:hAnsi="Times New Roman" w:eastAsia="Times New Roman" w:cs="Times New Roman"/>
                <w:sz w:val="20"/>
                <w:szCs w:val="20"/>
              </w:rPr>
              <w:t>。</w:t>
            </w:r>
          </w:p>
        </w:tc>
        <w:tc>
          <w:tcPr>
            <w:tcW w:w="647"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住宅69</w:t>
            </w:r>
            <w:r>
              <w:rPr>
                <w:rFonts w:hint="default" w:ascii="Times New Roman" w:hAnsi="Times New Roman" w:eastAsia="Times New Roman" w:cs="Times New Roman"/>
                <w:sz w:val="20"/>
                <w:szCs w:val="20"/>
              </w:rPr>
              <w:t>年</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商服</w:t>
            </w:r>
            <w:r>
              <w:rPr>
                <w:rFonts w:hint="default" w:ascii="Times New Roman" w:hAnsi="Times New Roman" w:cs="Times New Roman"/>
                <w:sz w:val="20"/>
                <w:szCs w:val="20"/>
              </w:rPr>
              <w:t>39年</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4257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2128</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jc w:val="center"/>
              <w:textAlignment w:val="auto"/>
              <w:rPr>
                <w:rFonts w:hint="default" w:ascii="Times New Roman" w:hAnsi="Times New Roman" w:eastAsia="Times New Roman" w:cs="Times New Roman"/>
                <w:sz w:val="20"/>
                <w:szCs w:val="20"/>
                <w:highlight w:val="none"/>
              </w:rPr>
            </w:pPr>
            <w:r>
              <w:rPr>
                <w:rFonts w:hint="default" w:ascii="Times New Roman" w:hAnsi="Times New Roman" w:cs="Times New Roman"/>
                <w:sz w:val="20"/>
                <w:szCs w:val="20"/>
                <w:highlight w:val="none"/>
              </w:rPr>
              <w:t>2023年3月27日9时</w:t>
            </w:r>
          </w:p>
        </w:tc>
      </w:tr>
    </w:tbl>
    <w:p>
      <w:pPr>
        <w:keepNext w:val="0"/>
        <w:keepLines w:val="0"/>
        <w:pageBreakBefore w:val="0"/>
        <w:widowControl w:val="0"/>
        <w:kinsoku/>
        <w:wordWrap/>
        <w:overflowPunct/>
        <w:topLinePunct w:val="0"/>
        <w:autoSpaceDE/>
        <w:autoSpaceDN/>
        <w:bidi w:val="0"/>
        <w:adjustRightInd/>
        <w:snapToGrid/>
        <w:spacing w:before="0" w:after="0" w:line="20" w:lineRule="exact"/>
        <w:textAlignment w:val="auto"/>
        <w:outlineLvl w:val="9"/>
        <w:rPr>
          <w:rFonts w:hint="default" w:ascii="Times New Roman" w:hAnsi="Times New Roman" w:cs="Times New Roman"/>
        </w:rPr>
      </w:pPr>
    </w:p>
    <w:bookmarkEnd w:id="3"/>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C63B60-0D36-490B-9D24-88FC69798B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E7DE1A4-C95F-4882-A236-D679FFEBAB58}"/>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embedRegular r:id="rId3" w:fontKey="{45D7153B-E3B8-45F0-982F-AFB6DAF6B1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7"/>
                            <w:jc w:val="left"/>
                          </w:pPr>
                          <w:r>
                            <w:rPr>
                              <w:rFonts w:eastAsia="Times New Roman"/>
                              <w:color w:val="000000"/>
                              <w:lang w:val="en-US" w:eastAsia="en-US" w:bidi="en-US"/>
                            </w:rPr>
                            <w:t>-</w:t>
                          </w:r>
                          <w:r>
                            <w:rPr>
                              <w:rFonts w:eastAsia="Times New Roman"/>
                              <w:color w:val="000000"/>
                            </w:rPr>
                            <w:t>20</w:t>
                          </w:r>
                          <w:r>
                            <w:rPr>
                              <w:rFonts w:eastAsia="Times New Roman"/>
                              <w:color w:val="00000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6192;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wG3K&#10;2QAAAA0BAAAPAAAAAAAAAAEAIAAAACIAAABkcnMvZG93bnJldi54bWxQSwECFAAUAAAACACHTuJA&#10;ezE46q4BAABwAwAADgAAAAAAAAABACAAAAAoAQAAZHJzL2Uyb0RvYy54bWxQSwUGAAAAAAYABgBZ&#10;AQAASAUAAAAA&#10;">
              <v:fill on="f" focussize="0,0"/>
              <v:stroke on="f"/>
              <v:imagedata o:title=""/>
              <o:lock v:ext="edit" aspectratio="f"/>
              <v:textbox inset="0mm,0mm,0mm,0mm" style="mso-fit-shape-to-text:t;">
                <w:txbxContent>
                  <w:p>
                    <w:pPr>
                      <w:pStyle w:val="37"/>
                      <w:jc w:val="left"/>
                    </w:pPr>
                    <w:r>
                      <w:rPr>
                        <w:rFonts w:eastAsia="Times New Roman"/>
                        <w:color w:val="000000"/>
                        <w:lang w:val="en-US" w:eastAsia="en-US" w:bidi="en-US"/>
                      </w:rPr>
                      <w:t>-</w:t>
                    </w:r>
                    <w:r>
                      <w:rPr>
                        <w:rFonts w:eastAsia="Times New Roman"/>
                        <w:color w:val="000000"/>
                      </w:rPr>
                      <w:t>20</w:t>
                    </w:r>
                    <w:r>
                      <w:rPr>
                        <w:rFonts w:eastAsia="Times New Roman"/>
                        <w:color w:val="00000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006F43B4"/>
    <w:rsid w:val="00055381"/>
    <w:rsid w:val="00156890"/>
    <w:rsid w:val="00291F43"/>
    <w:rsid w:val="003846E2"/>
    <w:rsid w:val="003D11EE"/>
    <w:rsid w:val="003D7B27"/>
    <w:rsid w:val="00502E7E"/>
    <w:rsid w:val="00593588"/>
    <w:rsid w:val="005F170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CD6B31"/>
    <w:rsid w:val="00D304ED"/>
    <w:rsid w:val="00D75C64"/>
    <w:rsid w:val="00E01788"/>
    <w:rsid w:val="00E070AA"/>
    <w:rsid w:val="00E416AF"/>
    <w:rsid w:val="00E47A66"/>
    <w:rsid w:val="00E80445"/>
    <w:rsid w:val="00EC35A5"/>
    <w:rsid w:val="00F831DB"/>
    <w:rsid w:val="010E6025"/>
    <w:rsid w:val="012F32FC"/>
    <w:rsid w:val="01587D16"/>
    <w:rsid w:val="01A04759"/>
    <w:rsid w:val="01A836F9"/>
    <w:rsid w:val="023E1725"/>
    <w:rsid w:val="02421D02"/>
    <w:rsid w:val="02C81D39"/>
    <w:rsid w:val="02D944DD"/>
    <w:rsid w:val="030D1C20"/>
    <w:rsid w:val="032B1553"/>
    <w:rsid w:val="038C1DF1"/>
    <w:rsid w:val="039F6E44"/>
    <w:rsid w:val="048A0C4C"/>
    <w:rsid w:val="04AA17FE"/>
    <w:rsid w:val="05E32E7C"/>
    <w:rsid w:val="05F54D6D"/>
    <w:rsid w:val="06247E21"/>
    <w:rsid w:val="067362EB"/>
    <w:rsid w:val="068117B6"/>
    <w:rsid w:val="06C26A7A"/>
    <w:rsid w:val="075570AE"/>
    <w:rsid w:val="07E4525D"/>
    <w:rsid w:val="08383503"/>
    <w:rsid w:val="08D60EA5"/>
    <w:rsid w:val="09402008"/>
    <w:rsid w:val="09B315DE"/>
    <w:rsid w:val="09B547AB"/>
    <w:rsid w:val="09EE122C"/>
    <w:rsid w:val="0A1E2AE2"/>
    <w:rsid w:val="0AAA4E9F"/>
    <w:rsid w:val="0AE876EE"/>
    <w:rsid w:val="0B3C33E2"/>
    <w:rsid w:val="0B782843"/>
    <w:rsid w:val="0BD7683E"/>
    <w:rsid w:val="0C7472F1"/>
    <w:rsid w:val="0CAD1C6D"/>
    <w:rsid w:val="0CE4226E"/>
    <w:rsid w:val="0D913B3D"/>
    <w:rsid w:val="0DAE7B73"/>
    <w:rsid w:val="0DD737A7"/>
    <w:rsid w:val="0DFD55A7"/>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D04CD7"/>
    <w:rsid w:val="13DC2CB8"/>
    <w:rsid w:val="14221D35"/>
    <w:rsid w:val="142B1DB1"/>
    <w:rsid w:val="15173084"/>
    <w:rsid w:val="1582435D"/>
    <w:rsid w:val="15C97374"/>
    <w:rsid w:val="160B6B83"/>
    <w:rsid w:val="16360DD5"/>
    <w:rsid w:val="16451891"/>
    <w:rsid w:val="16586BE9"/>
    <w:rsid w:val="166F2BF1"/>
    <w:rsid w:val="16F92E7F"/>
    <w:rsid w:val="171E6442"/>
    <w:rsid w:val="1742267B"/>
    <w:rsid w:val="17874DAF"/>
    <w:rsid w:val="1794192C"/>
    <w:rsid w:val="17A4202A"/>
    <w:rsid w:val="17EA1735"/>
    <w:rsid w:val="17EC7944"/>
    <w:rsid w:val="17FC1602"/>
    <w:rsid w:val="183B4674"/>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E785A"/>
    <w:rsid w:val="1B261919"/>
    <w:rsid w:val="1B272669"/>
    <w:rsid w:val="1B2A00D1"/>
    <w:rsid w:val="1B7347F4"/>
    <w:rsid w:val="1BB23779"/>
    <w:rsid w:val="1BE73F47"/>
    <w:rsid w:val="1C024584"/>
    <w:rsid w:val="1C8F4B89"/>
    <w:rsid w:val="1C9A1178"/>
    <w:rsid w:val="1D064DF7"/>
    <w:rsid w:val="1D097D20"/>
    <w:rsid w:val="1D4D39AE"/>
    <w:rsid w:val="1D5C4003"/>
    <w:rsid w:val="1D6F464E"/>
    <w:rsid w:val="1D9E5A0C"/>
    <w:rsid w:val="1D9F5CDA"/>
    <w:rsid w:val="1E095370"/>
    <w:rsid w:val="1E904230"/>
    <w:rsid w:val="1EA56328"/>
    <w:rsid w:val="1FB504FE"/>
    <w:rsid w:val="1FE77AEB"/>
    <w:rsid w:val="1FFA383F"/>
    <w:rsid w:val="20074744"/>
    <w:rsid w:val="20081950"/>
    <w:rsid w:val="20531852"/>
    <w:rsid w:val="20671C22"/>
    <w:rsid w:val="207F541D"/>
    <w:rsid w:val="20851B07"/>
    <w:rsid w:val="20990B2A"/>
    <w:rsid w:val="20AB6596"/>
    <w:rsid w:val="20FB3E37"/>
    <w:rsid w:val="21264E5A"/>
    <w:rsid w:val="22151CA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5B64DE"/>
    <w:rsid w:val="288E613F"/>
    <w:rsid w:val="288F3A27"/>
    <w:rsid w:val="28951D46"/>
    <w:rsid w:val="29721939"/>
    <w:rsid w:val="29E1316E"/>
    <w:rsid w:val="29F80FE7"/>
    <w:rsid w:val="2A492717"/>
    <w:rsid w:val="2A896299"/>
    <w:rsid w:val="2A8D1AA1"/>
    <w:rsid w:val="2AC93E57"/>
    <w:rsid w:val="2AE47609"/>
    <w:rsid w:val="2B4A64E7"/>
    <w:rsid w:val="2B786E5A"/>
    <w:rsid w:val="2B887541"/>
    <w:rsid w:val="2BE7051D"/>
    <w:rsid w:val="2C211517"/>
    <w:rsid w:val="2C3B3035"/>
    <w:rsid w:val="2C4B24F8"/>
    <w:rsid w:val="2C8452BD"/>
    <w:rsid w:val="2C882001"/>
    <w:rsid w:val="2CB00876"/>
    <w:rsid w:val="2CD35376"/>
    <w:rsid w:val="2D4168DD"/>
    <w:rsid w:val="2D930E3D"/>
    <w:rsid w:val="2E134FFF"/>
    <w:rsid w:val="2EAC2783"/>
    <w:rsid w:val="2EDA6C9B"/>
    <w:rsid w:val="2F220213"/>
    <w:rsid w:val="2F442A87"/>
    <w:rsid w:val="2F6C6D41"/>
    <w:rsid w:val="2FE853E7"/>
    <w:rsid w:val="2FF53957"/>
    <w:rsid w:val="2FF85F65"/>
    <w:rsid w:val="303845C1"/>
    <w:rsid w:val="303F6C03"/>
    <w:rsid w:val="306E2102"/>
    <w:rsid w:val="30731155"/>
    <w:rsid w:val="30F82569"/>
    <w:rsid w:val="31575D41"/>
    <w:rsid w:val="31885CBB"/>
    <w:rsid w:val="318C005A"/>
    <w:rsid w:val="31B372D4"/>
    <w:rsid w:val="31D86DCF"/>
    <w:rsid w:val="31EB11BF"/>
    <w:rsid w:val="32083D0C"/>
    <w:rsid w:val="32150B1E"/>
    <w:rsid w:val="33317857"/>
    <w:rsid w:val="334277A5"/>
    <w:rsid w:val="337563F9"/>
    <w:rsid w:val="337B0400"/>
    <w:rsid w:val="34013B56"/>
    <w:rsid w:val="342019D5"/>
    <w:rsid w:val="346C251E"/>
    <w:rsid w:val="34AB1BAC"/>
    <w:rsid w:val="356B3327"/>
    <w:rsid w:val="358D16EC"/>
    <w:rsid w:val="35A767A8"/>
    <w:rsid w:val="35CC1B7F"/>
    <w:rsid w:val="36237854"/>
    <w:rsid w:val="36487787"/>
    <w:rsid w:val="36B32239"/>
    <w:rsid w:val="36B610CD"/>
    <w:rsid w:val="36E1659F"/>
    <w:rsid w:val="373F3F75"/>
    <w:rsid w:val="37721A4B"/>
    <w:rsid w:val="37723635"/>
    <w:rsid w:val="380F19DC"/>
    <w:rsid w:val="383718CB"/>
    <w:rsid w:val="386A7C63"/>
    <w:rsid w:val="388A6997"/>
    <w:rsid w:val="38AF57A2"/>
    <w:rsid w:val="38CA6196"/>
    <w:rsid w:val="38DC1ADB"/>
    <w:rsid w:val="38F15DFA"/>
    <w:rsid w:val="38FC729A"/>
    <w:rsid w:val="39320FFB"/>
    <w:rsid w:val="39463E38"/>
    <w:rsid w:val="39E9024F"/>
    <w:rsid w:val="39FA4D33"/>
    <w:rsid w:val="3A3711CB"/>
    <w:rsid w:val="3A5C1D13"/>
    <w:rsid w:val="3A5C1E5A"/>
    <w:rsid w:val="3A9B67B2"/>
    <w:rsid w:val="3AD22148"/>
    <w:rsid w:val="3AD66858"/>
    <w:rsid w:val="3B221787"/>
    <w:rsid w:val="3B34068A"/>
    <w:rsid w:val="3B9610F4"/>
    <w:rsid w:val="3BB71C2D"/>
    <w:rsid w:val="3BD61A36"/>
    <w:rsid w:val="3BF67651"/>
    <w:rsid w:val="3C0318E0"/>
    <w:rsid w:val="3C45290A"/>
    <w:rsid w:val="3C7D1AA0"/>
    <w:rsid w:val="3CFF4A4C"/>
    <w:rsid w:val="3D152C6B"/>
    <w:rsid w:val="3DB611C5"/>
    <w:rsid w:val="3DEF6DB3"/>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A30DAA"/>
    <w:rsid w:val="40F46A11"/>
    <w:rsid w:val="41572450"/>
    <w:rsid w:val="41777BB2"/>
    <w:rsid w:val="4186034B"/>
    <w:rsid w:val="418F6974"/>
    <w:rsid w:val="42712E83"/>
    <w:rsid w:val="427D1E4F"/>
    <w:rsid w:val="428E2D29"/>
    <w:rsid w:val="429A6724"/>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7CC42D5"/>
    <w:rsid w:val="480F1ECA"/>
    <w:rsid w:val="48114111"/>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CA492F"/>
    <w:rsid w:val="4BDA7851"/>
    <w:rsid w:val="4BDD0C15"/>
    <w:rsid w:val="4BFE6807"/>
    <w:rsid w:val="4C112A28"/>
    <w:rsid w:val="4C367EE2"/>
    <w:rsid w:val="4C3E0A00"/>
    <w:rsid w:val="4C8F2B04"/>
    <w:rsid w:val="4C9C397D"/>
    <w:rsid w:val="4CA65793"/>
    <w:rsid w:val="4D441C8B"/>
    <w:rsid w:val="4D446E15"/>
    <w:rsid w:val="4D545274"/>
    <w:rsid w:val="4D8A139E"/>
    <w:rsid w:val="4DFB59B1"/>
    <w:rsid w:val="4E106724"/>
    <w:rsid w:val="4E5B22DE"/>
    <w:rsid w:val="4E660826"/>
    <w:rsid w:val="4E843E20"/>
    <w:rsid w:val="4EB0159A"/>
    <w:rsid w:val="4F021AA9"/>
    <w:rsid w:val="4F0A5043"/>
    <w:rsid w:val="4F42590E"/>
    <w:rsid w:val="4F94106E"/>
    <w:rsid w:val="4FB870F0"/>
    <w:rsid w:val="4FE00A82"/>
    <w:rsid w:val="5025101F"/>
    <w:rsid w:val="508C5CA4"/>
    <w:rsid w:val="51143E36"/>
    <w:rsid w:val="511901B3"/>
    <w:rsid w:val="52146C75"/>
    <w:rsid w:val="523577B2"/>
    <w:rsid w:val="52400BAA"/>
    <w:rsid w:val="52504441"/>
    <w:rsid w:val="52E1705F"/>
    <w:rsid w:val="52EC3EDC"/>
    <w:rsid w:val="52FE0D61"/>
    <w:rsid w:val="53151498"/>
    <w:rsid w:val="5316652D"/>
    <w:rsid w:val="53B134B9"/>
    <w:rsid w:val="53BD4A78"/>
    <w:rsid w:val="53D85335"/>
    <w:rsid w:val="53E125BE"/>
    <w:rsid w:val="541235D8"/>
    <w:rsid w:val="54CA1AED"/>
    <w:rsid w:val="55146BE0"/>
    <w:rsid w:val="55252947"/>
    <w:rsid w:val="5544476F"/>
    <w:rsid w:val="555E1E30"/>
    <w:rsid w:val="55A354FC"/>
    <w:rsid w:val="55BA0F7E"/>
    <w:rsid w:val="563411DE"/>
    <w:rsid w:val="573D0259"/>
    <w:rsid w:val="57874BC1"/>
    <w:rsid w:val="578A33CF"/>
    <w:rsid w:val="57FA6FE9"/>
    <w:rsid w:val="5807448D"/>
    <w:rsid w:val="581255D7"/>
    <w:rsid w:val="582012C9"/>
    <w:rsid w:val="582C6E15"/>
    <w:rsid w:val="587648D0"/>
    <w:rsid w:val="58A50EA8"/>
    <w:rsid w:val="58D008AE"/>
    <w:rsid w:val="58D278EC"/>
    <w:rsid w:val="58EA62B6"/>
    <w:rsid w:val="596F60AE"/>
    <w:rsid w:val="59B92E76"/>
    <w:rsid w:val="5A03106A"/>
    <w:rsid w:val="5A4F141A"/>
    <w:rsid w:val="5A9E0341"/>
    <w:rsid w:val="5B091ECB"/>
    <w:rsid w:val="5B2F1EEB"/>
    <w:rsid w:val="5B302BC9"/>
    <w:rsid w:val="5B745643"/>
    <w:rsid w:val="5C263CAD"/>
    <w:rsid w:val="5C4B2E5B"/>
    <w:rsid w:val="5C8578BA"/>
    <w:rsid w:val="5CCE30DB"/>
    <w:rsid w:val="5D027E7E"/>
    <w:rsid w:val="5D2B48B4"/>
    <w:rsid w:val="5D844F05"/>
    <w:rsid w:val="5E70388B"/>
    <w:rsid w:val="5EBA601D"/>
    <w:rsid w:val="5EC178AD"/>
    <w:rsid w:val="5ED83037"/>
    <w:rsid w:val="5F070F9B"/>
    <w:rsid w:val="5F220DF6"/>
    <w:rsid w:val="5F300F59"/>
    <w:rsid w:val="5F356E47"/>
    <w:rsid w:val="5FAE3AB2"/>
    <w:rsid w:val="5FCF5D35"/>
    <w:rsid w:val="60B91507"/>
    <w:rsid w:val="60D33ED8"/>
    <w:rsid w:val="616B0C9C"/>
    <w:rsid w:val="61CE2E18"/>
    <w:rsid w:val="621356A8"/>
    <w:rsid w:val="62215171"/>
    <w:rsid w:val="624B097D"/>
    <w:rsid w:val="62844F25"/>
    <w:rsid w:val="62B17737"/>
    <w:rsid w:val="62C06BAA"/>
    <w:rsid w:val="63D6165B"/>
    <w:rsid w:val="64031DD3"/>
    <w:rsid w:val="64084C3D"/>
    <w:rsid w:val="645475E2"/>
    <w:rsid w:val="6455010A"/>
    <w:rsid w:val="64C957CC"/>
    <w:rsid w:val="64E91D1B"/>
    <w:rsid w:val="65A83CC5"/>
    <w:rsid w:val="65CC5CF4"/>
    <w:rsid w:val="65E92BE6"/>
    <w:rsid w:val="669354B5"/>
    <w:rsid w:val="66B037DC"/>
    <w:rsid w:val="66BC3AD7"/>
    <w:rsid w:val="671125BE"/>
    <w:rsid w:val="6732696D"/>
    <w:rsid w:val="67397F81"/>
    <w:rsid w:val="67451D63"/>
    <w:rsid w:val="678C30B6"/>
    <w:rsid w:val="67E26E3A"/>
    <w:rsid w:val="67E9034C"/>
    <w:rsid w:val="68332B3B"/>
    <w:rsid w:val="68341610"/>
    <w:rsid w:val="683F3018"/>
    <w:rsid w:val="684466E8"/>
    <w:rsid w:val="684568B6"/>
    <w:rsid w:val="685B3667"/>
    <w:rsid w:val="68BD0B09"/>
    <w:rsid w:val="68CD7763"/>
    <w:rsid w:val="68EF79ED"/>
    <w:rsid w:val="68F57855"/>
    <w:rsid w:val="69045C7B"/>
    <w:rsid w:val="69D07B34"/>
    <w:rsid w:val="69E14465"/>
    <w:rsid w:val="6A226A53"/>
    <w:rsid w:val="6A231718"/>
    <w:rsid w:val="6A310DD3"/>
    <w:rsid w:val="6A4F4329"/>
    <w:rsid w:val="6AAF66D6"/>
    <w:rsid w:val="6AC67BD3"/>
    <w:rsid w:val="6AF12B3E"/>
    <w:rsid w:val="6B264B6E"/>
    <w:rsid w:val="6BD924EC"/>
    <w:rsid w:val="6C826573"/>
    <w:rsid w:val="6C8919B8"/>
    <w:rsid w:val="6C9D1375"/>
    <w:rsid w:val="6CE76051"/>
    <w:rsid w:val="6D843218"/>
    <w:rsid w:val="6DCF61FF"/>
    <w:rsid w:val="6E344E0D"/>
    <w:rsid w:val="6E3755C1"/>
    <w:rsid w:val="6E640DD3"/>
    <w:rsid w:val="6E64260C"/>
    <w:rsid w:val="6E914841"/>
    <w:rsid w:val="6EB1052D"/>
    <w:rsid w:val="6EC317CE"/>
    <w:rsid w:val="6F4E6508"/>
    <w:rsid w:val="6F4F2037"/>
    <w:rsid w:val="6FA608C2"/>
    <w:rsid w:val="701F7E35"/>
    <w:rsid w:val="704C3A50"/>
    <w:rsid w:val="70965651"/>
    <w:rsid w:val="70A14AF9"/>
    <w:rsid w:val="70A560EF"/>
    <w:rsid w:val="70AB4782"/>
    <w:rsid w:val="71576811"/>
    <w:rsid w:val="7165235D"/>
    <w:rsid w:val="716F460A"/>
    <w:rsid w:val="71B32033"/>
    <w:rsid w:val="71BD016F"/>
    <w:rsid w:val="71CF0BED"/>
    <w:rsid w:val="71D66846"/>
    <w:rsid w:val="71E54E4B"/>
    <w:rsid w:val="723C3332"/>
    <w:rsid w:val="7252271D"/>
    <w:rsid w:val="726873F0"/>
    <w:rsid w:val="727B46BA"/>
    <w:rsid w:val="727D1F41"/>
    <w:rsid w:val="729D59B3"/>
    <w:rsid w:val="7313238C"/>
    <w:rsid w:val="731759FD"/>
    <w:rsid w:val="734164C7"/>
    <w:rsid w:val="735A62E0"/>
    <w:rsid w:val="74611F35"/>
    <w:rsid w:val="74645702"/>
    <w:rsid w:val="746E7275"/>
    <w:rsid w:val="74D80B53"/>
    <w:rsid w:val="751A7E63"/>
    <w:rsid w:val="75400B60"/>
    <w:rsid w:val="754A20F0"/>
    <w:rsid w:val="7558335C"/>
    <w:rsid w:val="755D72AA"/>
    <w:rsid w:val="756562E8"/>
    <w:rsid w:val="75B50E95"/>
    <w:rsid w:val="761D7780"/>
    <w:rsid w:val="76406DC8"/>
    <w:rsid w:val="766A702E"/>
    <w:rsid w:val="76AC6A44"/>
    <w:rsid w:val="76B040EE"/>
    <w:rsid w:val="76DB3663"/>
    <w:rsid w:val="778B6418"/>
    <w:rsid w:val="779A0D22"/>
    <w:rsid w:val="78123523"/>
    <w:rsid w:val="78520C1D"/>
    <w:rsid w:val="7872306D"/>
    <w:rsid w:val="78AB2481"/>
    <w:rsid w:val="78C863CB"/>
    <w:rsid w:val="792B6181"/>
    <w:rsid w:val="79F43DA8"/>
    <w:rsid w:val="7A3B2D26"/>
    <w:rsid w:val="7A404208"/>
    <w:rsid w:val="7A436452"/>
    <w:rsid w:val="7A6A3136"/>
    <w:rsid w:val="7A9439F5"/>
    <w:rsid w:val="7AFD1570"/>
    <w:rsid w:val="7B134572"/>
    <w:rsid w:val="7B4B064C"/>
    <w:rsid w:val="7B6E62FB"/>
    <w:rsid w:val="7C122B9D"/>
    <w:rsid w:val="7C187EC4"/>
    <w:rsid w:val="7C3507CF"/>
    <w:rsid w:val="7CDB5FF9"/>
    <w:rsid w:val="7CEC0651"/>
    <w:rsid w:val="7D4A7AE5"/>
    <w:rsid w:val="7D586692"/>
    <w:rsid w:val="7D810E5F"/>
    <w:rsid w:val="7D84768B"/>
    <w:rsid w:val="7DD86538"/>
    <w:rsid w:val="7E0D600E"/>
    <w:rsid w:val="7E2C0DEA"/>
    <w:rsid w:val="7E2D0B3F"/>
    <w:rsid w:val="7E341C7F"/>
    <w:rsid w:val="7E8B6D03"/>
    <w:rsid w:val="7EC7405B"/>
    <w:rsid w:val="7F671451"/>
    <w:rsid w:val="7FC254AE"/>
    <w:rsid w:val="7FF4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styleId="4">
    <w:name w:val="Normal Indent"/>
    <w:basedOn w:val="1"/>
    <w:next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7AB7"/>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7AB7"/>
      <w:u w:val="none"/>
    </w:rPr>
  </w:style>
  <w:style w:type="character" w:styleId="16">
    <w:name w:val="HTML Code"/>
    <w:basedOn w:val="10"/>
    <w:semiHidden/>
    <w:unhideWhenUsed/>
    <w:qFormat/>
    <w:uiPriority w:val="99"/>
    <w:rPr>
      <w:rFonts w:ascii="Consolas" w:hAnsi="Consolas" w:eastAsia="Consolas" w:cs="Consolas"/>
      <w:color w:val="C7254E"/>
      <w:sz w:val="21"/>
      <w:szCs w:val="21"/>
      <w:shd w:val="clear" w:color="auto"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10"/>
    <w:semiHidden/>
    <w:unhideWhenUsed/>
    <w:qFormat/>
    <w:uiPriority w:val="99"/>
    <w:rPr>
      <w:rFonts w:hint="default" w:ascii="Consolas" w:hAnsi="Consolas" w:eastAsia="Consolas" w:cs="Consolas"/>
      <w:sz w:val="21"/>
      <w:szCs w:val="21"/>
    </w:rPr>
  </w:style>
  <w:style w:type="paragraph" w:customStyle="1" w:styleId="19">
    <w:name w:val="_Style 1"/>
    <w:basedOn w:val="20"/>
    <w:qFormat/>
    <w:uiPriority w:val="1"/>
    <w:pPr>
      <w:adjustRightInd w:val="0"/>
      <w:snapToGrid w:val="0"/>
      <w:spacing w:line="620" w:lineRule="exact"/>
      <w:ind w:firstLine="200" w:firstLineChars="200"/>
    </w:pPr>
    <w:rPr>
      <w:rFonts w:cs="Times New Roman"/>
      <w:sz w:val="32"/>
      <w:szCs w:val="21"/>
    </w:rPr>
  </w:style>
  <w:style w:type="paragraph" w:customStyle="1" w:styleId="20">
    <w:name w:val="正文 New New New New New New New New New New New New New New New New New New New New New New New New New New New New New New New"/>
    <w:next w:val="19"/>
    <w:qFormat/>
    <w:uiPriority w:val="0"/>
    <w:pPr>
      <w:widowControl w:val="0"/>
      <w:jc w:val="both"/>
    </w:pPr>
    <w:rPr>
      <w:rFonts w:ascii="Calibri" w:hAnsi="Calibri" w:eastAsia="宋体" w:cs="黑体"/>
      <w:kern w:val="2"/>
      <w:sz w:val="21"/>
      <w:szCs w:val="22"/>
      <w:lang w:val="en-US" w:eastAsia="zh-CN" w:bidi="ar-SA"/>
    </w:rPr>
  </w:style>
  <w:style w:type="paragraph" w:customStyle="1" w:styleId="21">
    <w:name w:val="批注文字 New New"/>
    <w:basedOn w:val="1"/>
    <w:qFormat/>
    <w:uiPriority w:val="0"/>
    <w:pPr>
      <w:jc w:val="left"/>
    </w:pPr>
    <w:rPr>
      <w:szCs w:val="20"/>
    </w:rPr>
  </w:style>
  <w:style w:type="character" w:customStyle="1" w:styleId="22">
    <w:name w:val="页眉 字符"/>
    <w:basedOn w:val="10"/>
    <w:link w:val="7"/>
    <w:qFormat/>
    <w:uiPriority w:val="99"/>
    <w:rPr>
      <w:rFonts w:ascii="Times New Roman" w:hAnsi="Times New Roman" w:eastAsia="宋体" w:cs="Times New Roman"/>
      <w:sz w:val="18"/>
      <w:szCs w:val="18"/>
    </w:rPr>
  </w:style>
  <w:style w:type="character" w:customStyle="1" w:styleId="23">
    <w:name w:val="页脚 字符"/>
    <w:basedOn w:val="10"/>
    <w:link w:val="6"/>
    <w:qFormat/>
    <w:uiPriority w:val="99"/>
    <w:rPr>
      <w:rFonts w:ascii="Times New Roman" w:hAnsi="Times New Roman" w:eastAsia="宋体" w:cs="Times New Roman"/>
      <w:sz w:val="18"/>
      <w:szCs w:val="18"/>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actspan"/>
    <w:basedOn w:val="10"/>
    <w:qFormat/>
    <w:uiPriority w:val="0"/>
  </w:style>
  <w:style w:type="character" w:customStyle="1" w:styleId="27">
    <w:name w:val="layui-layer-tabnow"/>
    <w:basedOn w:val="10"/>
    <w:qFormat/>
    <w:uiPriority w:val="0"/>
    <w:rPr>
      <w:bdr w:val="single" w:color="CCCCCC" w:sz="6" w:space="0"/>
      <w:shd w:val="clear" w:color="auto" w:fill="FFFFFF"/>
    </w:rPr>
  </w:style>
  <w:style w:type="character" w:customStyle="1" w:styleId="28">
    <w:name w:val="first-child"/>
    <w:basedOn w:val="10"/>
    <w:qFormat/>
    <w:uiPriority w:val="0"/>
  </w:style>
  <w:style w:type="paragraph" w:customStyle="1" w:styleId="29">
    <w:name w:val="我的正文"/>
    <w:basedOn w:val="30"/>
    <w:qFormat/>
    <w:uiPriority w:val="0"/>
    <w:pPr>
      <w:spacing w:line="560" w:lineRule="exact"/>
      <w:ind w:firstLine="200" w:firstLineChars="200"/>
    </w:pPr>
    <w:rPr>
      <w:rFonts w:eastAsia="仿宋_GB2312"/>
      <w:sz w:val="32"/>
      <w:szCs w:val="32"/>
    </w:rPr>
  </w:style>
  <w:style w:type="paragraph" w:customStyle="1" w:styleId="30">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1">
    <w:name w:val="actspan2"/>
    <w:basedOn w:val="10"/>
    <w:qFormat/>
    <w:uiPriority w:val="0"/>
  </w:style>
  <w:style w:type="paragraph" w:customStyle="1" w:styleId="32">
    <w:name w:val="p0"/>
    <w:basedOn w:val="1"/>
    <w:qFormat/>
    <w:uiPriority w:val="0"/>
    <w:pPr>
      <w:widowControl/>
    </w:pPr>
    <w:rPr>
      <w:kern w:val="0"/>
      <w:szCs w:val="21"/>
    </w:rPr>
  </w:style>
  <w:style w:type="paragraph" w:customStyle="1" w:styleId="33">
    <w:name w:val="Body text|1"/>
    <w:basedOn w:val="1"/>
    <w:qFormat/>
    <w:uiPriority w:val="0"/>
    <w:pPr>
      <w:spacing w:line="439" w:lineRule="auto"/>
      <w:ind w:firstLine="400"/>
    </w:pPr>
    <w:rPr>
      <w:rFonts w:ascii="宋体" w:hAnsi="宋体" w:cs="宋体"/>
      <w:sz w:val="30"/>
      <w:szCs w:val="30"/>
      <w:lang w:val="zh-TW" w:eastAsia="zh-TW" w:bidi="zh-TW"/>
    </w:rPr>
  </w:style>
  <w:style w:type="paragraph" w:customStyle="1" w:styleId="34">
    <w:name w:val="Table caption|1"/>
    <w:basedOn w:val="1"/>
    <w:qFormat/>
    <w:uiPriority w:val="0"/>
    <w:rPr>
      <w:rFonts w:ascii="宋体" w:hAnsi="宋体" w:cs="宋体"/>
      <w:sz w:val="30"/>
      <w:szCs w:val="30"/>
      <w:lang w:val="zh-TW" w:eastAsia="zh-TW" w:bidi="zh-TW"/>
    </w:rPr>
  </w:style>
  <w:style w:type="paragraph" w:customStyle="1" w:styleId="35">
    <w:name w:val="Other|1"/>
    <w:basedOn w:val="1"/>
    <w:qFormat/>
    <w:uiPriority w:val="0"/>
    <w:pPr>
      <w:spacing w:line="439" w:lineRule="auto"/>
      <w:ind w:firstLine="400"/>
    </w:pPr>
    <w:rPr>
      <w:rFonts w:ascii="宋体" w:hAnsi="宋体" w:cs="宋体"/>
      <w:sz w:val="30"/>
      <w:szCs w:val="30"/>
      <w:lang w:val="zh-TW" w:eastAsia="zh-TW" w:bidi="zh-TW"/>
    </w:rPr>
  </w:style>
  <w:style w:type="paragraph" w:customStyle="1" w:styleId="36">
    <w:name w:val="Other|2"/>
    <w:basedOn w:val="1"/>
    <w:qFormat/>
    <w:uiPriority w:val="0"/>
    <w:pPr>
      <w:spacing w:before="160" w:line="230" w:lineRule="exact"/>
      <w:jc w:val="center"/>
    </w:pPr>
    <w:rPr>
      <w:rFonts w:ascii="宋体" w:hAnsi="宋体" w:cs="宋体"/>
      <w:sz w:val="22"/>
      <w:szCs w:val="22"/>
      <w:lang w:val="zh-TW" w:eastAsia="zh-TW" w:bidi="zh-TW"/>
    </w:rPr>
  </w:style>
  <w:style w:type="paragraph" w:customStyle="1" w:styleId="37">
    <w:name w:val="Header or footer|1"/>
    <w:basedOn w:val="1"/>
    <w:qFormat/>
    <w:uiPriority w:val="0"/>
    <w:rPr>
      <w:sz w:val="19"/>
      <w:szCs w:val="19"/>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3553</Words>
  <Characters>3918</Characters>
  <Lines>30</Lines>
  <Paragraphs>8</Paragraphs>
  <TotalTime>23</TotalTime>
  <ScaleCrop>false</ScaleCrop>
  <LinksUpToDate>false</LinksUpToDate>
  <CharactersWithSpaces>3976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欧老</cp:lastModifiedBy>
  <cp:lastPrinted>2023-02-20T09:00:00Z</cp:lastPrinted>
  <dcterms:modified xsi:type="dcterms:W3CDTF">2023-02-20T09:45:14Z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7A1C00D4DC894610A06B023E0737C3EE</vt:lpwstr>
  </property>
</Properties>
</file>